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jc w:val="center"/>
        <w:rPr>
          <w:rFonts w:ascii="方正大标宋简体" w:hAnsi="华文中宋" w:eastAsia="方正大标宋简体"/>
          <w:color w:val="FF0000"/>
          <w:w w:val="80"/>
          <w:sz w:val="98"/>
          <w:szCs w:val="88"/>
        </w:rPr>
      </w:pP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华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北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电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力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大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学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文</w:t>
      </w:r>
      <w:r>
        <w:rPr>
          <w:rFonts w:hint="eastAsia" w:ascii="方正大标宋简体" w:hAnsi="华文中宋" w:eastAsia="方正大标宋简体"/>
          <w:color w:val="FF0000"/>
          <w:w w:val="66"/>
          <w:sz w:val="98"/>
          <w:szCs w:val="88"/>
        </w:rPr>
        <w:t xml:space="preserve"> </w:t>
      </w:r>
      <w:r>
        <w:rPr>
          <w:rFonts w:hint="eastAsia" w:ascii="方正大标宋简体" w:hAnsi="华文中宋" w:eastAsia="方正大标宋简体"/>
          <w:color w:val="FF0000"/>
          <w:w w:val="80"/>
          <w:sz w:val="98"/>
          <w:szCs w:val="88"/>
        </w:rPr>
        <w:t>件</w:t>
      </w:r>
    </w:p>
    <w:p>
      <w:pPr>
        <w:tabs>
          <w:tab w:val="left" w:pos="540"/>
          <w:tab w:val="left" w:pos="720"/>
        </w:tabs>
        <w:spacing w:line="560" w:lineRule="exact"/>
        <w:rPr>
          <w:rFonts w:eastAsia="楷体_GB2312"/>
          <w:bCs/>
          <w:sz w:val="32"/>
          <w:szCs w:val="32"/>
        </w:rPr>
      </w:pPr>
    </w:p>
    <w:p>
      <w:pPr>
        <w:tabs>
          <w:tab w:val="left" w:pos="540"/>
          <w:tab w:val="left" w:pos="720"/>
        </w:tabs>
        <w:spacing w:line="560" w:lineRule="exact"/>
        <w:rPr>
          <w:rFonts w:eastAsia="楷体_GB2312"/>
          <w:bCs/>
          <w:color w:val="FF0000"/>
          <w:sz w:val="32"/>
          <w:szCs w:val="32"/>
        </w:rPr>
      </w:pPr>
    </w:p>
    <w:p>
      <w:pPr>
        <w:spacing w:line="0" w:lineRule="atLeast"/>
        <w:ind w:firstLine="320" w:firstLineChars="100"/>
        <w:jc w:val="center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</w:rPr>
        <w:t>华电校档</w:t>
      </w:r>
      <w:r>
        <w:rPr>
          <w:rFonts w:hint="eastAsia" w:ascii="仿宋_GB2312" w:eastAsia="仿宋_GB2312"/>
          <w:sz w:val="32"/>
        </w:rPr>
        <w:t>〔2017〕1号</w:t>
      </w:r>
    </w:p>
    <w:p>
      <w:pPr>
        <w:spacing w:line="0" w:lineRule="atLeast"/>
        <w:jc w:val="center"/>
        <w:rPr>
          <w:b/>
          <w:bCs/>
          <w:sz w:val="36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217170</wp:posOffset>
                </wp:positionV>
                <wp:extent cx="635" cy="0"/>
                <wp:effectExtent l="0" t="13970" r="14605" b="1651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.95pt;margin-top:17.1pt;height:0pt;width:0.05pt;z-index:251658240;mso-width-relative:page;mso-height-relative:page;" coordsize="21600,21600" o:gfxdata="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tOfeNYAAAAJAQAADwAAAAAAAAABACAAAAAiAAAAZHJz&#10;L2Rvd25yZXYueG1sUEsBAhQAFAAAAAgAh07iQHJ6Wt3NAQAAigMAAA4AAAAAAAAAAQAgAAAAJQEA&#10;AGRycy9lMm9Eb2MueG1sUEsFBgAAAAAGAAYAWQEAAGQFAAAAAA=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217170</wp:posOffset>
                </wp:positionV>
                <wp:extent cx="635" cy="635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67.3pt;margin-top:17.1pt;height:0.05pt;width:0.05pt;z-index:251660288;mso-width-relative:page;mso-height-relative:page;" o:connectortype="straight" filled="f" coordsize="21600,21600" o:gfxdata="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xWjW9gAAAAJAQAADwAAAAAAAAABACAA&#10;AAAiAAAAZHJzL2Rvd25yZXYueG1sUEsBAhQAFAAAAAgAh07iQJjBA5fUAQAAkwMAAA4AAAAAAAAA&#10;AQAgAAAAJwEAAGRycy9lMm9Eb2MueG1sUEsFBgAAAAAGAAYAWQEAAG0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217170</wp:posOffset>
                </wp:positionV>
                <wp:extent cx="601027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.95pt;margin-top:17.1pt;height:0pt;width:473.25pt;z-index:251659264;mso-width-relative:page;mso-height-relative:page;" coordsize="21600,21600" o:gfxdata="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hbABrYAAAACQEAAA8AAAAAAAAAAQAgAAAAIgAA&#10;AGRycy9kb3ducmV2LnhtbFBLAQIUABQAAAAIAIdO4kDDyZILzwEAAI4DAAAOAAAAAAAAAAEAIAAA&#10;ACcBAABkcnMvZTJvRG9jLnhtbFBLBQYAAAAABgAGAFkBAABoBQAAAAA=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关于印发《华北电力大学招标档案</w:t>
      </w:r>
    </w:p>
    <w:p>
      <w:pPr>
        <w:widowControl/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管理实施办法》的通知</w:t>
      </w:r>
    </w:p>
    <w:bookmarkEnd w:id="0"/>
    <w:p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校直各单位：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为加强和规范学校招投标档案管理，确保归档文件资料的完整性、准确性和系统性，以利于今后有效地保管和利用档案，根据《中华人民共和国档案法》《华北电力大学档案管理办法》《华北电力大学招标管理办法》等有关法律法规和学校制度，制定本办法。本办法已经2017年第8次校长办公会议审议通过，现予以印发，请认真贯彻执行。</w:t>
      </w:r>
    </w:p>
    <w:p>
      <w:pPr>
        <w:spacing w:line="54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                </w:t>
      </w:r>
      <w:r>
        <w:rPr>
          <w:rFonts w:hint="eastAsia" w:ascii="楷体_GB2312" w:hAnsi="仿宋" w:eastAsia="楷体_GB2312"/>
          <w:sz w:val="32"/>
          <w:szCs w:val="32"/>
        </w:rPr>
        <w:t xml:space="preserve">  2017年10月25日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</w:p>
    <w:p>
      <w:pPr>
        <w:spacing w:line="540" w:lineRule="exact"/>
        <w:rPr>
          <w:rFonts w:ascii="楷体_GB2312" w:eastAsia="楷体_GB2312"/>
          <w:kern w:val="0"/>
          <w:sz w:val="32"/>
          <w:szCs w:val="32"/>
        </w:rPr>
      </w:pPr>
    </w:p>
    <w:p>
      <w:pPr>
        <w:widowControl/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华北电力大学招标档案管理实施办法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before="156" w:beforeLines="50" w:after="156" w:afterLines="50"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第一章  总  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第一条  为加强和规范学校招投标档案（以下简称招标档案）管理，确保归档文件资料的完整性、准确性和系统性，以利于今后有效地保管和利用档案，根据《中华人民共和国档案法》《华北电力大学档案管理办法》《华北电力大学招标管理办法》等有关法律法规和学校制度，结合工作实际制定本办法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第二条  本办法适用于校内各类招标项目的档案管理。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第三条  招标档案的定义和分类。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（一）招标档案定义。是指学校在招标业务和管理中形成的，具有保存价值的各种纸质类、实物类、电子与声像类的材料。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（二）招标档案分类。本办法所指招标档案材料包括两类：招标项目档案（即具体一个项目档案）和招标部门综合文书（即部门其他管理文书档案）。</w:t>
      </w:r>
    </w:p>
    <w:p>
      <w:pPr>
        <w:spacing w:before="156" w:beforeLines="50" w:after="156" w:afterLines="50"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  招标项目档案的归档管理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第四条  招标项目档案定义、档号、归档模式、归档时限、保存期限。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（一）档案定义：凡是涉及具体某项招标业务，即一个具体项目的招标材料，全部视为一个项目的招标档案。此类立卷归档，一个项目一大卷或多卷方式。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（二）档号规则：全宗-年度-招标项目档案-部门-年度流水号。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（三）归档模式：立卷归档。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（四）归档时限：统一或可分批移交。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（五）保存期限：短期保存，根据国家有关规定执行。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第五条  招标项目档案的归档责任。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学校招标项目档案由招标部门指定专人负责统一收集、整理材料，统一或分批移交档案馆完成归档。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第六条  招标项目档案的归档范围：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（一）基本材料：一个项目可能产生的所有招标材料：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1．招标计划表（如有，下同）。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2．招标文件。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3．招标文件的澄清或修改文件。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4．招标代理委托合同、授权委托书及招标代理项目组组成人员情况表。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5．招标公告</w:t>
      </w:r>
      <w:r>
        <w:rPr>
          <w:rFonts w:hint="eastAsia" w:ascii="仿宋_GB2312" w:hAnsi="仿宋" w:eastAsia="仿宋_GB2312"/>
          <w:sz w:val="32"/>
          <w:szCs w:val="32"/>
        </w:rPr>
        <w:t>或投标邀请书。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6．投标报名登记表，如对投标人投标资格进行考察的须提供调查报告及入围名单。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7．答疑会签到表、答疑会纪要。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8．议标、邀请招标申请表。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9．招标会签到表、招标会记录稿。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10．评委评分表、评委评分汇总表、评标小组评标总结。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11．招标情况的书面报告。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12．中标确认表。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13．投标人承诺书。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14．投标书正本。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15．中标公告。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16．中标人投标文件中的授权委托书、投标函、报价汇总表、合同等重要资料的复印件。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17．合同副本。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18．项目招标代理评价意见表。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19．项目招标合同备案表。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20．项目招标监督情况记录表。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21．投标文件的电子光盘。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22．招标工作的重大决议以及会议纪要。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23．招标工作中各部门间的流转表格。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24．重大招标的开标、议标、评标现场的照片或录像资料。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25．其他与本招投标项目有关的重要材料。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26．</w:t>
      </w:r>
      <w:r>
        <w:rPr>
          <w:rFonts w:hint="eastAsia" w:ascii="仿宋_GB2312" w:hAnsi="仿宋" w:eastAsia="仿宋_GB2312"/>
          <w:sz w:val="32"/>
          <w:szCs w:val="32"/>
        </w:rPr>
        <w:t>以上材料的纸质类、电子类、实物类。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27．</w:t>
      </w:r>
      <w:r>
        <w:rPr>
          <w:rFonts w:hint="eastAsia" w:ascii="仿宋_GB2312" w:hAnsi="仿宋" w:eastAsia="仿宋_GB2312"/>
          <w:sz w:val="32"/>
          <w:szCs w:val="32"/>
        </w:rPr>
        <w:t>其他材料事宜按照上级法律法规和《华北电力大学档案管理办法》执行，或由档案馆解释。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（二）标书。各投标单位的各类标书和相关材料。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（三）以上纸质材料的特殊载体档案，如电子类、实物类。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（四）未尽事宜按照国家和学校规定执行，或由档案馆解释。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第七条  招标项目档案的材料整理顺序。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1．档案封皮。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2．《文件目录》。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3．《投标标书材料清单》。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4．除投标标书以外的相关材料按时间排列。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5．《备考表》。材料遗失或破损的要在《备考表》里注明。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6．按照《投标标书材料清单》，将标书单独整理成捆。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第八条  招标项目档案的整理和归档要求。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（一）招标项目材料归档必须贯穿招标工作全过程同步进行，做到材料及时收集、分类整理。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（二）所有归档的材料内容必须准确、齐全、完整，真实反映招标业务和管理的全过程。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（三）所有归档的材料应字迹清楚，图表整洁,需要单位或个人签章的，其签章手续应齐备。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（四）所有招标档案每年完成归档的最晚期限为次年的五月底。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（五）投标单位标书等材料单列成捆并统一移交并保存档案馆，整理时全部要填写《投标标书材料清单》，《投标标书材料清单》要列入归档《文件目录》，并放置在所有材料的最上边。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（六）投标单位材料按照《投标标书材料清单》的顺序排列，标书等所有材料在背脊全部表明案卷号和顺序号。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（七）一个招标项目因流标造成的多次招标，也视为一个项目的招标档案，按照每次材料形成顺序全部纳入一卷归档，不得分开归档。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八）招标部门在收到归档的招标文件资料后，应及时登记，并认真做好归档材料的分类存放、立卷整理、电子归档、档案审核、档案移交等。归档完成后，档案馆在《投标标书材料清单》里注明标书在档案库房的存放地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（九）归档的招标文件资料按照“一卷多盒”的形式存放，且按统一编号进行排列，由档案馆存放于专门档案库房。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第九条  招标项目档案的归档流程。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1．纸质整理。所有纸质材料整理完毕，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2．电子归档。首先完成网上电子录入归档。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3．电子审核。档案馆电子审核通过后，打印《案卷封皮》、《文件目录》和《备考表》。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4．归档自检。归档人员在《备考表》上签字。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5．领导审核。由招标部门领导在《备考表》上签字。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6．移交准备。将《案卷封皮》、《文件目录》、审核后的纸质材料、《备考表》按顺序排列好。标书分类整理成捆。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7．移交检查。联系档案馆人员上门检查。检查合格后，打印《文件目录》两份盖章，《文件目录》作为移交清单。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．移交清点。将《案卷封皮》、《文件目录》、审核后的纸质材料、《备考表》、标书（成捆）、一并移交档案馆。与档案馆接受人员逐卷逐件逐页核对无误，档案馆在《文件目录》上盖章签字，《文件目录》作为移交清单归档单位各档案馆各持一份备查。</w:t>
      </w:r>
    </w:p>
    <w:p>
      <w:pPr>
        <w:spacing w:before="156" w:beforeLines="50" w:after="156" w:afterLines="50"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  招标综合文书档案的归档管理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第十条  招标综合文书档案形成和管理（含定义、档号、归档模式、归档时限、整理规范、保存期限、归档责任等）具体参照《华北电力大学综合文书档案管理实施办法》的规定执行。</w:t>
      </w:r>
    </w:p>
    <w:p>
      <w:pPr>
        <w:spacing w:before="156" w:beforeLines="50" w:after="156" w:afterLines="50"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第四章  招标档案的保管与利用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第十一条  档案管理人员应遵守档案管理的有关法律、法规和规章制度。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第十二条  招标部门和档案馆都要做好防潮、防蛀、防火、防盗等工作，加强档案的技术保护，延长档案的使用寿命。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第十三条  招标档案的利用。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一）严格借阅、查阅档案的审批手续，查阅或借阅档案时应遵守和执行国家各项保密规定和纪律，必须征得归档单位的许可，要建立查档、借档和销毁机制。查阅时如需要摘抄或复印时，履行登记手续。借阅的档案不得拆卷、抽页、涂改、转借，按期归还，防止丢失和泄密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（二）招标档案保存期满后，由档案馆会商归档单位按有关规定和流程处理。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（三）招标部门的招标档案管理人员离开工作岗位前，应当按规定移交招标档案资料，不得擅自处理或带走。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（四）学校招标管理信息系统投入运行后，招标档案信息录入、归档、查阅等管理工作均需通过管理平台在线进行，并保存所有电子记录。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（五）涉密项目的招标档案同时要按照国家有关的法律法规执行。</w:t>
      </w:r>
    </w:p>
    <w:p>
      <w:pPr>
        <w:spacing w:before="156" w:beforeLines="50" w:after="156" w:afterLines="50" w:line="560" w:lineRule="exact"/>
        <w:ind w:firstLine="42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 w:line="560" w:lineRule="exact"/>
        <w:ind w:firstLine="42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 w:line="560" w:lineRule="exact"/>
        <w:ind w:firstLine="42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 w:line="560" w:lineRule="exact"/>
        <w:ind w:firstLine="42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第五章  附则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第十四条  学校招标中心成立前的招标档案，由原负责招标的单位参照本办法归档。由学校授权参与社会投标的，归档参照本办法执行。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第十五条  本办法自发布之日起施行，授权档案馆负责解释。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华北电力大学校长办公室                 2017年10月25日印发 </w:t>
      </w:r>
    </w:p>
    <w:p/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fldChar w:fldCharType="begin"/>
    </w:r>
    <w:r>
      <w:rPr>
        <w:rFonts w:hint="eastAsia" w:ascii="黑体" w:eastAsia="黑体"/>
        <w:sz w:val="24"/>
        <w:szCs w:val="24"/>
      </w:rPr>
      <w:instrText xml:space="preserve"> PAGE   \* MERGEFORMAT </w:instrText>
    </w:r>
    <w:r>
      <w:rPr>
        <w:rFonts w:hint="eastAsia" w:ascii="黑体" w:eastAsia="黑体"/>
        <w:sz w:val="24"/>
        <w:szCs w:val="24"/>
      </w:rPr>
      <w:fldChar w:fldCharType="separate"/>
    </w:r>
    <w:r>
      <w:rPr>
        <w:rFonts w:ascii="黑体" w:eastAsia="黑体"/>
        <w:sz w:val="24"/>
        <w:szCs w:val="24"/>
        <w:lang w:val="zh-CN"/>
      </w:rPr>
      <w:t>-</w:t>
    </w:r>
    <w:r>
      <w:rPr>
        <w:rFonts w:ascii="黑体" w:eastAsia="黑体"/>
        <w:sz w:val="24"/>
        <w:szCs w:val="24"/>
      </w:rPr>
      <w:t xml:space="preserve"> 1 -</w:t>
    </w:r>
    <w:r>
      <w:rPr>
        <w:rFonts w:hint="eastAsia" w:ascii="黑体" w:eastAsia="黑体"/>
        <w:sz w:val="24"/>
        <w:szCs w:val="24"/>
      </w:rPr>
      <w:fldChar w:fldCharType="end"/>
    </w:r>
    <w:r>
      <w:rPr>
        <w:rFonts w:hint="eastAsia" w:ascii="黑体" w:eastAsia="黑体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20" w:firstLineChars="50"/>
      <w:rPr>
        <w:rFonts w:hint="eastAsia"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fldChar w:fldCharType="begin"/>
    </w:r>
    <w:r>
      <w:rPr>
        <w:rFonts w:hint="eastAsia" w:ascii="黑体" w:eastAsia="黑体"/>
        <w:sz w:val="24"/>
        <w:szCs w:val="24"/>
      </w:rPr>
      <w:instrText xml:space="preserve"> PAGE   \* MERGEFORMAT </w:instrText>
    </w:r>
    <w:r>
      <w:rPr>
        <w:rFonts w:hint="eastAsia" w:ascii="黑体" w:eastAsia="黑体"/>
        <w:sz w:val="24"/>
        <w:szCs w:val="24"/>
      </w:rPr>
      <w:fldChar w:fldCharType="separate"/>
    </w:r>
    <w:r>
      <w:rPr>
        <w:rFonts w:ascii="黑体" w:eastAsia="黑体"/>
        <w:sz w:val="24"/>
        <w:szCs w:val="24"/>
        <w:lang w:val="zh-CN"/>
      </w:rPr>
      <w:t>-</w:t>
    </w:r>
    <w:r>
      <w:rPr>
        <w:rFonts w:ascii="黑体" w:eastAsia="黑体"/>
        <w:sz w:val="24"/>
        <w:szCs w:val="24"/>
      </w:rPr>
      <w:t xml:space="preserve"> 8 -</w:t>
    </w:r>
    <w:r>
      <w:rPr>
        <w:rFonts w:hint="eastAsia" w:ascii="黑体" w:eastAsia="黑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31C5"/>
    <w:rsid w:val="45903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2017-11-20T07:59:00Z</dcterms:created>
  <dc:creator>白蘭和蘭白</dc:creator>
  <cp:lastModifiedBy>白蘭和蘭白</cp:lastModifiedBy>
  <dcterms:modified xsi:type="dcterms:W3CDTF">2017-11-20T08:02:44Z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